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outlineLvl w:val="9"/>
        <w:rPr>
          <w:rFonts w:hint="eastAsia" w:ascii="仿宋_GB2312" w:hAnsi="宋体" w:eastAsia="仿宋_GB2312" w:cs="宋体"/>
          <w:b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宋体" w:cs="宋体"/>
          <w:b/>
          <w:color w:val="auto"/>
          <w:sz w:val="30"/>
          <w:szCs w:val="30"/>
          <w:highlight w:val="none"/>
          <w:u w:val="none"/>
          <w:lang w:eastAsia="zh-CN"/>
        </w:rPr>
        <w:t>（</w:t>
      </w:r>
      <w:r>
        <w:rPr>
          <w:rFonts w:hint="eastAsia" w:ascii="仿宋_GB2312" w:hAnsi="宋体" w:cs="宋体"/>
          <w:b/>
          <w:color w:val="auto"/>
          <w:sz w:val="30"/>
          <w:szCs w:val="30"/>
          <w:highlight w:val="none"/>
          <w:u w:val="none"/>
        </w:rPr>
        <w:t>申请函示范文本</w:t>
      </w:r>
      <w:r>
        <w:rPr>
          <w:rFonts w:hint="eastAsia" w:ascii="仿宋_GB2312" w:hAnsi="宋体" w:cs="宋体"/>
          <w:b/>
          <w:color w:val="auto"/>
          <w:sz w:val="30"/>
          <w:szCs w:val="30"/>
          <w:highlight w:val="none"/>
          <w:u w:val="none"/>
          <w:lang w:eastAsia="zh-CN"/>
        </w:rPr>
        <w:t>）</w:t>
      </w:r>
    </w:p>
    <w:p>
      <w:pPr>
        <w:spacing w:line="580" w:lineRule="exact"/>
        <w:outlineLvl w:val="9"/>
        <w:rPr>
          <w:rFonts w:hint="eastAsia" w:ascii="仿宋_GB2312" w:hAnsi="宋体" w:cs="宋体"/>
          <w:b/>
          <w:color w:val="auto"/>
          <w:sz w:val="30"/>
          <w:szCs w:val="30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highlight w:val="none"/>
          <w:u w:val="none"/>
        </w:rPr>
        <w:t>关于申请xxxx建设项目取水许可审批的函</w:t>
      </w:r>
    </w:p>
    <w:p>
      <w:pPr>
        <w:spacing w:line="5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u w:val="none"/>
        </w:rPr>
        <w:t xml:space="preserve">              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</w:rPr>
        <w:t xml:space="preserve">       （公文编号）</w:t>
      </w:r>
    </w:p>
    <w:p>
      <w:pPr>
        <w:spacing w:line="580" w:lineRule="exact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长江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水利委员会：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ind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【项目基本情况】介绍项目建设的必要性、项目概况、建设依据、项目进展情况等。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ind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【建设项目水资源论证报告编制情况】简述建设项目水资源论衡报告委托编制情况，具体可参考如下形式：“按照有关法律法规，我单位委托xxxx单位编制完成了《xxxx建设项目水资源论证报告》，现将取水许可相关申请材料（详见申请书材料目录）报送你委，请予审查批准”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ind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附件：按申请材料目录附有关材料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ind w:firstLine="6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 xml:space="preserve">                单  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ind w:firstLine="6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 xml:space="preserve">                            年  月  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ind w:firstLine="5055" w:firstLineChars="1685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（盖章）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 </w:t>
      </w:r>
    </w:p>
    <w:p>
      <w:pPr>
        <w:spacing w:line="580" w:lineRule="exact"/>
        <w:ind w:firstLine="600"/>
        <w:jc w:val="left"/>
        <w:outlineLvl w:val="9"/>
        <w:rPr>
          <w:rFonts w:hint="eastAsia" w:ascii="宋体" w:hAnsi="宋体" w:cs="仿宋_GB2312"/>
          <w:color w:val="auto"/>
          <w:sz w:val="30"/>
          <w:szCs w:val="30"/>
          <w:highlight w:val="none"/>
          <w:u w:val="none"/>
          <w:shd w:val="clear" w:color="auto" w:fill="FFFFFF"/>
        </w:rPr>
      </w:pPr>
    </w:p>
    <w:p>
      <w:pPr>
        <w:ind w:left="0" w:leftChars="0" w:firstLine="0" w:firstLineChars="0"/>
        <w:outlineLvl w:val="9"/>
        <w:rPr>
          <w:rFonts w:hint="eastAsia" w:ascii="仿宋_GB2312" w:hAnsi="宋体" w:cs="宋体"/>
          <w:b/>
          <w:color w:val="auto"/>
          <w:sz w:val="30"/>
          <w:szCs w:val="30"/>
          <w:highlight w:val="none"/>
          <w:u w:val="none"/>
        </w:rPr>
      </w:pPr>
      <w:r>
        <w:rPr>
          <w:rFonts w:ascii="宋体" w:hAnsi="宋体" w:cs="仿宋_GB2312"/>
          <w:color w:val="auto"/>
          <w:sz w:val="30"/>
          <w:szCs w:val="30"/>
          <w:highlight w:val="none"/>
          <w:u w:val="none"/>
          <w:shd w:val="clear" w:color="auto" w:fill="FFFFFF"/>
        </w:rPr>
        <w:br w:type="page"/>
      </w:r>
      <w:bookmarkStart w:id="6" w:name="_GoBack"/>
      <w:bookmarkEnd w:id="6"/>
    </w:p>
    <w:p>
      <w:pPr>
        <w:outlineLvl w:val="9"/>
        <w:rPr>
          <w:rFonts w:hint="eastAsia" w:ascii="仿宋_GB2312" w:hAnsi="宋体" w:cs="宋体"/>
          <w:b/>
          <w:color w:val="auto"/>
          <w:sz w:val="30"/>
          <w:szCs w:val="30"/>
          <w:highlight w:val="none"/>
          <w:u w:val="none"/>
        </w:rPr>
      </w:pPr>
    </w:p>
    <w:p>
      <w:pPr>
        <w:outlineLvl w:val="9"/>
        <w:rPr>
          <w:rFonts w:ascii="Times New Roman" w:hAnsi="Times New Roman" w:eastAsia="仿宋_GB2312"/>
          <w:color w:val="auto"/>
          <w:sz w:val="28"/>
          <w:szCs w:val="28"/>
          <w:highlight w:val="none"/>
          <w:u w:val="none"/>
        </w:rPr>
      </w:pPr>
    </w:p>
    <w:p>
      <w:pPr>
        <w:outlineLvl w:val="9"/>
        <w:rPr>
          <w:rFonts w:ascii="Times New Roman" w:hAnsi="Times New Roman" w:eastAsia="仿宋_GB2312"/>
          <w:color w:val="auto"/>
          <w:sz w:val="28"/>
          <w:szCs w:val="28"/>
          <w:highlight w:val="none"/>
          <w:u w:val="none"/>
        </w:rPr>
      </w:pPr>
    </w:p>
    <w:p>
      <w:pPr>
        <w:ind w:left="0" w:leftChars="0" w:firstLine="0" w:firstLineChars="0"/>
        <w:jc w:val="center"/>
        <w:outlineLvl w:val="9"/>
        <w:rPr>
          <w:rFonts w:hint="eastAsia" w:ascii="方正大标宋简体" w:hAnsi="方正大标宋简体" w:eastAsia="方正大标宋简体" w:cs="方正大标宋简体"/>
          <w:b/>
          <w:bCs/>
          <w:color w:val="auto"/>
          <w:sz w:val="66"/>
          <w:szCs w:val="66"/>
          <w:highlight w:val="none"/>
          <w:u w:val="none"/>
        </w:rPr>
      </w:pPr>
      <w:bookmarkStart w:id="0" w:name="_Toc28498"/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sz w:val="66"/>
          <w:szCs w:val="66"/>
          <w:highlight w:val="none"/>
          <w:u w:val="none"/>
        </w:rPr>
        <w:t>取 水 许 可 申 请 书</w:t>
      </w:r>
      <w:bookmarkEnd w:id="0"/>
    </w:p>
    <w:p>
      <w:pPr>
        <w:jc w:val="center"/>
        <w:outlineLvl w:val="9"/>
        <w:rPr>
          <w:rFonts w:ascii="Times New Roman" w:hAnsi="Times New Roman" w:eastAsia="黑体"/>
          <w:color w:val="auto"/>
          <w:sz w:val="32"/>
          <w:highlight w:val="none"/>
          <w:u w:val="none"/>
        </w:rPr>
      </w:pPr>
    </w:p>
    <w:p>
      <w:pPr>
        <w:outlineLvl w:val="9"/>
        <w:rPr>
          <w:rFonts w:ascii="Times New Roman" w:hAnsi="Times New Roman"/>
          <w:color w:val="auto"/>
          <w:highlight w:val="none"/>
          <w:u w:val="none"/>
        </w:rPr>
      </w:pPr>
    </w:p>
    <w:p>
      <w:pPr>
        <w:outlineLvl w:val="9"/>
        <w:rPr>
          <w:rFonts w:ascii="Times New Roman" w:hAnsi="Times New Roman"/>
          <w:color w:val="auto"/>
          <w:highlight w:val="none"/>
          <w:u w:val="none"/>
        </w:rPr>
      </w:pPr>
    </w:p>
    <w:p>
      <w:pPr>
        <w:outlineLvl w:val="9"/>
        <w:rPr>
          <w:rFonts w:ascii="Times New Roman" w:hAnsi="Times New Roman"/>
          <w:color w:val="auto"/>
          <w:highlight w:val="none"/>
          <w:u w:val="none"/>
        </w:rPr>
      </w:pPr>
    </w:p>
    <w:p>
      <w:pPr>
        <w:outlineLvl w:val="9"/>
        <w:rPr>
          <w:rFonts w:ascii="Times New Roman" w:hAnsi="Times New Roman"/>
          <w:color w:val="auto"/>
          <w:highlight w:val="none"/>
          <w:u w:val="none"/>
        </w:rPr>
      </w:pPr>
    </w:p>
    <w:p>
      <w:pPr>
        <w:outlineLvl w:val="9"/>
        <w:rPr>
          <w:rFonts w:ascii="Times New Roman" w:hAnsi="Times New Roman"/>
          <w:color w:val="auto"/>
          <w:highlight w:val="none"/>
          <w:u w:val="none"/>
        </w:rPr>
      </w:pPr>
    </w:p>
    <w:p>
      <w:pPr>
        <w:outlineLvl w:val="9"/>
        <w:rPr>
          <w:rFonts w:ascii="Times New Roman" w:hAnsi="Times New Roman"/>
          <w:color w:val="auto"/>
          <w:highlight w:val="none"/>
          <w:u w:val="none"/>
        </w:rPr>
      </w:pPr>
    </w:p>
    <w:p>
      <w:pPr>
        <w:outlineLvl w:val="9"/>
        <w:rPr>
          <w:rFonts w:ascii="Times New Roman" w:hAnsi="Times New Roman"/>
          <w:color w:val="auto"/>
          <w:highlight w:val="none"/>
          <w:u w:val="none"/>
        </w:rPr>
      </w:pPr>
    </w:p>
    <w:p>
      <w:pPr>
        <w:outlineLvl w:val="9"/>
        <w:rPr>
          <w:rFonts w:ascii="Times New Roman" w:hAnsi="Times New Roman"/>
          <w:color w:val="auto"/>
          <w:highlight w:val="none"/>
          <w:u w:val="none"/>
        </w:rPr>
      </w:pPr>
    </w:p>
    <w:p>
      <w:pPr>
        <w:outlineLvl w:val="9"/>
        <w:rPr>
          <w:rFonts w:ascii="Times New Roman" w:hAnsi="Times New Roman"/>
          <w:color w:val="auto"/>
          <w:highlight w:val="none"/>
          <w:u w:val="none"/>
        </w:rPr>
      </w:pPr>
    </w:p>
    <w:p>
      <w:pPr>
        <w:outlineLvl w:val="9"/>
        <w:rPr>
          <w:rFonts w:ascii="Times New Roman" w:hAnsi="Times New Roman"/>
          <w:color w:val="auto"/>
          <w:highlight w:val="none"/>
          <w:u w:val="none"/>
        </w:rPr>
      </w:pPr>
    </w:p>
    <w:p>
      <w:pPr>
        <w:outlineLvl w:val="9"/>
        <w:rPr>
          <w:rFonts w:ascii="Times New Roman" w:hAnsi="Times New Roman"/>
          <w:color w:val="auto"/>
          <w:highlight w:val="none"/>
          <w:u w:val="none"/>
        </w:rPr>
      </w:pPr>
    </w:p>
    <w:p>
      <w:pPr>
        <w:outlineLvl w:val="9"/>
        <w:rPr>
          <w:rFonts w:ascii="Times New Roman" w:hAnsi="Times New Roman"/>
          <w:color w:val="auto"/>
          <w:highlight w:val="none"/>
          <w:u w:val="none"/>
        </w:rPr>
      </w:pPr>
    </w:p>
    <w:p>
      <w:pPr>
        <w:outlineLvl w:val="9"/>
        <w:rPr>
          <w:rFonts w:ascii="Times New Roman" w:hAnsi="Times New Roman"/>
          <w:color w:val="auto"/>
          <w:highlight w:val="none"/>
          <w:u w:val="none"/>
        </w:rPr>
      </w:pPr>
    </w:p>
    <w:p>
      <w:pPr>
        <w:ind w:firstLine="2070"/>
        <w:outlineLvl w:val="9"/>
        <w:rPr>
          <w:rFonts w:ascii="Times New Roman" w:hAnsi="Times New Roman"/>
          <w:color w:val="auto"/>
          <w:highlight w:val="none"/>
          <w:u w:val="none"/>
        </w:rPr>
      </w:pPr>
    </w:p>
    <w:p>
      <w:pPr>
        <w:adjustRightInd w:val="0"/>
        <w:snapToGrid w:val="0"/>
        <w:spacing w:line="360" w:lineRule="auto"/>
        <w:ind w:firstLine="1600" w:firstLineChars="500"/>
        <w:outlineLvl w:val="9"/>
        <w:rPr>
          <w:rFonts w:ascii="Times New Roman" w:hAnsi="Times New Roman" w:eastAsia="黑体"/>
          <w:color w:val="auto"/>
          <w:sz w:val="32"/>
          <w:highlight w:val="none"/>
          <w:u w:val="none"/>
        </w:rPr>
      </w:pPr>
      <w:bookmarkStart w:id="1" w:name="_Toc4912"/>
      <w:r>
        <w:rPr>
          <w:rFonts w:ascii="Times New Roman" w:hAnsi="Times New Roman" w:eastAsia="黑体"/>
          <w:color w:val="auto"/>
          <w:sz w:val="32"/>
          <w:highlight w:val="none"/>
          <w:u w:val="none"/>
        </w:rPr>
        <w:t>申请人（盖章）</w:t>
      </w:r>
      <w:bookmarkEnd w:id="1"/>
      <w:r>
        <w:rPr>
          <w:rFonts w:ascii="Times New Roman" w:hAnsi="Times New Roman" w:eastAsia="黑体"/>
          <w:color w:val="auto"/>
          <w:sz w:val="32"/>
          <w:highlight w:val="none"/>
          <w:u w:val="non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600" w:firstLineChars="500"/>
        <w:outlineLvl w:val="9"/>
        <w:rPr>
          <w:rFonts w:ascii="Times New Roman" w:hAnsi="Times New Roman" w:eastAsia="黑体"/>
          <w:color w:val="auto"/>
          <w:sz w:val="32"/>
          <w:highlight w:val="none"/>
          <w:u w:val="none"/>
        </w:rPr>
      </w:pPr>
      <w:bookmarkStart w:id="2" w:name="_Toc27635"/>
      <w:r>
        <w:rPr>
          <w:rFonts w:ascii="Times New Roman" w:hAnsi="Times New Roman" w:eastAsia="黑体"/>
          <w:color w:val="auto"/>
          <w:sz w:val="32"/>
          <w:highlight w:val="none"/>
          <w:u w:val="none"/>
        </w:rPr>
        <w:t>项目名称</w:t>
      </w:r>
      <w:bookmarkEnd w:id="2"/>
      <w:r>
        <w:rPr>
          <w:rFonts w:ascii="Times New Roman" w:hAnsi="Times New Roman" w:eastAsia="黑体"/>
          <w:color w:val="auto"/>
          <w:sz w:val="32"/>
          <w:highlight w:val="none"/>
          <w:u w:val="none"/>
        </w:rPr>
        <w:t xml:space="preserve">                            </w:t>
      </w:r>
    </w:p>
    <w:p>
      <w:pPr>
        <w:adjustRightInd w:val="0"/>
        <w:snapToGrid w:val="0"/>
        <w:spacing w:line="360" w:lineRule="auto"/>
        <w:ind w:firstLine="1600" w:firstLineChars="500"/>
        <w:outlineLvl w:val="9"/>
        <w:rPr>
          <w:rFonts w:ascii="Times New Roman" w:hAnsi="Times New Roman" w:eastAsia="黑体"/>
          <w:color w:val="auto"/>
          <w:sz w:val="32"/>
          <w:highlight w:val="none"/>
          <w:u w:val="none"/>
        </w:rPr>
      </w:pPr>
      <w:bookmarkStart w:id="3" w:name="_Toc5889"/>
      <w:r>
        <w:rPr>
          <w:rFonts w:ascii="Times New Roman" w:hAnsi="Times New Roman" w:eastAsia="黑体"/>
          <w:color w:val="auto"/>
          <w:sz w:val="32"/>
          <w:highlight w:val="none"/>
          <w:u w:val="none"/>
        </w:rPr>
        <w:t>申请日期</w:t>
      </w:r>
      <w:bookmarkEnd w:id="3"/>
      <w:r>
        <w:rPr>
          <w:rFonts w:ascii="Times New Roman" w:hAnsi="Times New Roman" w:eastAsia="黑体"/>
          <w:color w:val="auto"/>
          <w:sz w:val="32"/>
          <w:highlight w:val="none"/>
          <w:u w:val="none"/>
        </w:rPr>
        <w:t xml:space="preserve">                             </w:t>
      </w:r>
    </w:p>
    <w:p>
      <w:pPr>
        <w:ind w:firstLine="2070"/>
        <w:outlineLvl w:val="9"/>
        <w:rPr>
          <w:rFonts w:ascii="Times New Roman" w:hAnsi="Times New Roman" w:eastAsia="黑体"/>
          <w:color w:val="auto"/>
          <w:sz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9"/>
        <w:rPr>
          <w:rFonts w:ascii="Times New Roman" w:hAnsi="Times New Roman" w:eastAsia="仿宋_GB2312"/>
          <w:b/>
          <w:bCs/>
          <w:color w:val="auto"/>
          <w:sz w:val="28"/>
          <w:szCs w:val="28"/>
          <w:highlight w:val="none"/>
          <w:u w:val="none"/>
        </w:rPr>
      </w:pPr>
      <w:bookmarkStart w:id="4" w:name="_Toc11907"/>
      <w:r>
        <w:rPr>
          <w:rFonts w:ascii="Times New Roman" w:hAnsi="Times New Roman" w:eastAsia="黑体"/>
          <w:b/>
          <w:bCs/>
          <w:color w:val="auto"/>
          <w:sz w:val="32"/>
          <w:highlight w:val="none"/>
          <w:u w:val="none"/>
        </w:rPr>
        <w:t>中华人民共和国水利部监制</w:t>
      </w:r>
      <w:bookmarkEnd w:id="4"/>
    </w:p>
    <w:p>
      <w:pPr>
        <w:outlineLvl w:val="9"/>
        <w:rPr>
          <w:rFonts w:ascii="Times New Roman" w:hAnsi="Times New Roman"/>
          <w:color w:val="auto"/>
          <w:highlight w:val="none"/>
          <w:u w:val="none"/>
        </w:rPr>
      </w:pPr>
    </w:p>
    <w:p>
      <w:pPr>
        <w:spacing w:line="0" w:lineRule="atLeast"/>
        <w:jc w:val="center"/>
        <w:outlineLvl w:val="9"/>
        <w:rPr>
          <w:rFonts w:ascii="Times New Roman" w:hAnsi="Times New Roman"/>
          <w:color w:val="auto"/>
          <w:highlight w:val="none"/>
          <w:u w:val="none"/>
        </w:rPr>
        <w:sectPr>
          <w:pgSz w:w="11906" w:h="16838"/>
          <w:pgMar w:top="1440" w:right="1587" w:bottom="1440" w:left="1587" w:header="851" w:footer="1134" w:gutter="0"/>
          <w:pgNumType w:fmt="decimal" w:start="1"/>
          <w:cols w:space="720" w:num="1"/>
          <w:rtlGutter w:val="0"/>
          <w:docGrid w:type="lines" w:linePitch="387" w:charSpace="0"/>
        </w:sect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0" w:firstLineChars="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highlight w:val="none"/>
          <w:u w:val="none"/>
        </w:rPr>
      </w:pPr>
      <w:bookmarkStart w:id="5" w:name="_Toc13288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highlight w:val="none"/>
          <w:u w:val="none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highlight w:val="none"/>
          <w:u w:val="none"/>
        </w:rPr>
        <w:t>填表说明</w:t>
      </w:r>
      <w:bookmarkEnd w:id="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申请人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填写申请取水的单位或个人名称，包括法人、自然人和其他组织。填写的单位名称应与工商登记信息一致，个人名称应与身份证信息一致。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项目名称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填写国家投资主管部门审批、核准或者备案的建设项目名称；非建设项目的，填写取水事项的主要内容；分期的建设项目，填写主体工程名称。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统一社会信用代码（身份证号码）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申请人为法人和其他组织时，填写其统一社会信用代码；申请人为自然人时，填写自然人的身份证号码。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单位类型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按国家机关、事业单位、社会团体、企业等填写。其中企业应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按照市场监督管理部门注册登记的类型信息填写。个人不用填写。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行业类别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按照国民经济行业分类标准GB/T4754中的大类类别填写，个人不用填写。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地址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企业按申请人注册地址填写，应与注册登记信息一致；国家机关、事业单位、社会团体填写单位地址；个人填写身份证记载的住址。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住址均应填写具体街道、小区门牌号。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联系人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填写单位对外沟通、联系的固定人员的姓名。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工作部门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填写联系人的工作部门。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职务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填写联系人的职务。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手机号码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填写联系人的常用手机号码。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11.固定电话：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填写单位对外联系的固定电话。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12.电子邮箱：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填写单位对外联系的电子邮箱。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13.申请理由：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说明申请取水缘由，取水事项的基本情况、取水用途及其具备申请取水许可的依据。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14.申请取水起始时间：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取水工程预计竣工开始取水的时间。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15.期限：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5年以下根据实际情况填写，5年以上填写长期。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16.水源类型：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分为地表水、地下水和其他。其中，取用地下水的，如为矿泉水或地热水，需进一步勾选相关类型。取用多种水源的，分别填写各个水源的信息。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17.水源名称：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水源类型为“地表水”时，填写取水口所在的江河、湖泊或水库的名称，水源类型为“地下水”时，填写取水的含水层组，水源类型为“其他”，填写具体的取水来源。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18.取水地址：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填写取水口所在行政区（到乡一级），取用多种水源的，应填写所有取水地点，用分号隔开。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19.取水口经纬度：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填写取水口中心点的经纬度坐标，精确到分。例如东经137度45分，北纬37度45分。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20.年取水量：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填写申请的单个水源的取水量，单位为万m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  <w:vertAlign w:val="superscript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  <w:highlight w:val="none"/>
          <w:u w:val="none"/>
        </w:rPr>
        <w:t>21.年总取水量：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填写申请的所有取水水源的年总取水量，单位为万m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  <w:vertAlign w:val="superscript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  <w:highlight w:val="none"/>
          <w:u w:val="none"/>
        </w:rPr>
        <w:t>22.水源n: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如有多个水源，按照水源1的表格内容填写各个水源的信息。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23.取水类型：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分为水资源配置、河道内生产取水、特许经营取水、自备水源取水、其他等5类。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（1）水资源配置：是指用于配置水资源的水利工程，这类工程本身不用水，承担水资源调蓄和配置功能，包括蓄水工程、引调水工程、提水工程以及河道内其他水利工程。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当水库既有蓄水，又有水电站时，同时选择取水类型（A）和（B）。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（2）河道内生产：是指江河、湖泊、水库等水域内的生产用水，如水电站、鱼道、航运等。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（3）基础设施或公用事业：是指企业和其他经济组织依法取得政府授予的特许经营权，在一定期限和范围内经营供水基础设施，提供水公共产品或者公共服务，如公共供水企业、灌区供水工程等。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-11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（4）</w:t>
      </w:r>
      <w:r>
        <w:rPr>
          <w:rFonts w:hint="eastAsia" w:ascii="仿宋_GB2312" w:hAnsi="仿宋_GB2312" w:eastAsia="仿宋_GB2312" w:cs="仿宋_GB2312"/>
          <w:bCs/>
          <w:color w:val="auto"/>
          <w:spacing w:val="-11"/>
          <w:kern w:val="0"/>
          <w:sz w:val="30"/>
          <w:szCs w:val="30"/>
          <w:highlight w:val="none"/>
          <w:u w:val="none"/>
        </w:rPr>
        <w:t>自备水源：是指自建取水设施（工程），直接从地表水源（江河、湖泊、水库、渠道、人工河道）或地下水源取水的一般用水户。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（5）其他：不属于上述四种类型的取水类型，包括直接取用其他取水单位或者个人的退水或者排水的，或者取用再生水、微咸水等非常规水为取水水源的用水户。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  <w:highlight w:val="none"/>
          <w:u w:val="none"/>
        </w:rPr>
        <w:t>24.取水工程（设施）类型：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按取水方式分为闸、坝、渠道、人工河道、虹吸管、水泵、水井、水电站以及其他。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25.取水用途：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分为制水、供水、水力发电、航运、生活用水、工业用水、火（核）电用水、农业用水、林业用水、畜牧业用水、水产养殖、建筑服务业用水、公共事业用水、特种行业用水、生态用水、其他用水。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制水是指自来水企业的制水，自来水企业的取水用途选择制水和供水；矿泉水生产属于工业用水；工业用水不包括火核电用水。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26.用水指标：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取水用途为生活用水时，用水指标填写人均日用水量；工业用水时，填写主要产品用水定额；农业用水时，为亩均用水量；除生活用水、工业用水、农业用水外，填写用水项目的用水定额。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27.主要产品、设计生产规模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：取水用途为工业用水时，需填写主要产品的名称和设计年生产规模。农业取水填写设计灌溉面积、有效灌溉面积、主要作物品种及产量。发电取水填写机组台数与装机流量、年发电量、设计年利用小时。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28.计量设施（器具）类型：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是指取水口安装的计量设施类型，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分为以下三种：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管道计量：机械水表、电 子水表、电磁流量计、超声波流量计；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明渠计量：依水位推流、水工建筑物法、剖面流速仪（ADCP测流）、非接触式雷达波测流方式；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其他计量：用发电机或泵效率曲线推流，以电、柴油和其他动力消耗折算水量等。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</w:rPr>
        <w:t>29.计量数据传输方式：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分为在线和非在线。“在线”是指计量设施有水量数据定时上传功能，数据可直接上传至省级及其以上水资源管理系统；“非在线”是指计量设施无数据上传功能，需通过人工查表方式获取水量信息。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  <w:highlight w:val="none"/>
          <w:u w:val="none"/>
        </w:rPr>
        <w:t>30.安装位置：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u w:val="none"/>
        </w:rPr>
        <w:t>计量设施安装的具体位置。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  <w:highlight w:val="none"/>
          <w:u w:val="none"/>
        </w:rPr>
        <w:t>31.退水地点：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明确退水的去向。例如排入公共管网或排入河湖等。若排入河湖，需注明入河排污口的位置。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  <w:highlight w:val="none"/>
          <w:u w:val="none"/>
        </w:rPr>
        <w:t>32.退水量：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取用水户用水后，直接或通过沟、渠、管道等设施对外排放的污水量。不含水轮机利用水能的排水，单位为万m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vertAlign w:val="superscript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/年，计至两位小数。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  <w:highlight w:val="none"/>
          <w:u w:val="none"/>
        </w:rPr>
        <w:t>33.退水方式：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分为污水处理厂处理、公共污水管网、自行处理，如自行处理，需填写具体处理措施。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  <w:highlight w:val="none"/>
          <w:u w:val="none"/>
        </w:rPr>
        <w:t>34.水资源节约、保护和管理措施：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</w:rPr>
        <w:t>简要说明项目在节水用水、生态流量、水量调度、退水管理、计量管理、用水统计管理等方面的措施。</w:t>
      </w:r>
    </w:p>
    <w:p>
      <w:pPr>
        <w:widowControl/>
        <w:adjustRightInd w:val="0"/>
        <w:snapToGrid w:val="0"/>
        <w:spacing w:line="400" w:lineRule="exact"/>
        <w:ind w:firstLine="560" w:firstLineChars="200"/>
        <w:jc w:val="center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none"/>
        </w:rPr>
        <w:br w:type="page"/>
      </w:r>
    </w:p>
    <w:tbl>
      <w:tblPr>
        <w:tblStyle w:val="8"/>
        <w:tblW w:w="100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527"/>
        <w:gridCol w:w="1148"/>
        <w:gridCol w:w="899"/>
        <w:gridCol w:w="504"/>
        <w:gridCol w:w="1277"/>
        <w:gridCol w:w="611"/>
        <w:gridCol w:w="241"/>
        <w:gridCol w:w="369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>申请人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>法定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>代表人</w:t>
            </w:r>
          </w:p>
        </w:tc>
        <w:tc>
          <w:tcPr>
            <w:tcW w:w="2047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  <w:tc>
          <w:tcPr>
            <w:tcW w:w="2392" w:type="dxa"/>
            <w:gridSpan w:val="3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>统一社会信用代码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（身份证号码）</w:t>
            </w:r>
          </w:p>
        </w:tc>
        <w:tc>
          <w:tcPr>
            <w:tcW w:w="29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>单位类型</w:t>
            </w:r>
          </w:p>
        </w:tc>
        <w:tc>
          <w:tcPr>
            <w:tcW w:w="2047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  <w:tc>
          <w:tcPr>
            <w:tcW w:w="2392" w:type="dxa"/>
            <w:gridSpan w:val="3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>行业类别</w:t>
            </w:r>
          </w:p>
        </w:tc>
        <w:tc>
          <w:tcPr>
            <w:tcW w:w="29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>地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>址</w:t>
            </w:r>
          </w:p>
        </w:tc>
        <w:tc>
          <w:tcPr>
            <w:tcW w:w="7433" w:type="dxa"/>
            <w:gridSpan w:val="8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联系人</w:t>
            </w:r>
          </w:p>
        </w:tc>
        <w:tc>
          <w:tcPr>
            <w:tcW w:w="20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  <w:tc>
          <w:tcPr>
            <w:tcW w:w="23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工作部门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>职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>务</w:t>
            </w:r>
          </w:p>
        </w:tc>
        <w:tc>
          <w:tcPr>
            <w:tcW w:w="20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  <w:tc>
          <w:tcPr>
            <w:tcW w:w="23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>手机号码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>固定电话</w:t>
            </w:r>
          </w:p>
        </w:tc>
        <w:tc>
          <w:tcPr>
            <w:tcW w:w="20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  <w:tc>
          <w:tcPr>
            <w:tcW w:w="23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>电子邮箱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  <w:u w:val="none"/>
              </w:rPr>
              <w:t>年总取水量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水源1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  <w:t>水源类型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  <w:t xml:space="preserve">地表水  </w:t>
            </w:r>
            <w:r>
              <w:rPr>
                <w:rFonts w:hint="eastAsia" w:ascii="宋体" w:hAnsi="宋体"/>
                <w:bCs/>
                <w:color w:val="auto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  <w:t>地下水（</w:t>
            </w:r>
            <w:r>
              <w:rPr>
                <w:rFonts w:hint="eastAsia" w:ascii="宋体" w:hAnsi="宋体"/>
                <w:bCs/>
                <w:color w:val="auto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  <w:t xml:space="preserve">矿泉水  </w:t>
            </w:r>
            <w:r>
              <w:rPr>
                <w:rFonts w:hint="eastAsia" w:ascii="宋体" w:hAnsi="宋体"/>
                <w:bCs/>
                <w:color w:val="auto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  <w:t xml:space="preserve">地热水） </w:t>
            </w:r>
            <w:r>
              <w:rPr>
                <w:rFonts w:hint="eastAsia" w:ascii="宋体" w:hAnsi="宋体"/>
                <w:bCs/>
                <w:color w:val="auto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  <w:t>水源名称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  <w:t>取水地址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省（区、市）  市（区）   县（区、市）   乡（镇、街道）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  <w:t>取水口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  <w:t>经纬度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东经：</w:t>
            </w:r>
            <w:r>
              <w:rPr>
                <w:rFonts w:hint="eastAsia"/>
                <w:color w:val="auto"/>
                <w:highlight w:val="none"/>
                <w:u w:val="none"/>
              </w:rPr>
              <w:t xml:space="preserve">      度      分，北纬：      度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  <w:t>年取水量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highlight w:val="none"/>
                <w:u w:val="none"/>
              </w:rPr>
              <w:t>…</w:t>
            </w:r>
          </w:p>
        </w:tc>
        <w:tc>
          <w:tcPr>
            <w:tcW w:w="89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  <w:u w:val="none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highlight w:val="none"/>
                <w:u w:val="none"/>
              </w:rPr>
              <w:t>水源n</w:t>
            </w:r>
          </w:p>
        </w:tc>
        <w:tc>
          <w:tcPr>
            <w:tcW w:w="89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  <w:u w:val="none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>申请理由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>申请取水的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开始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>时间</w:t>
            </w:r>
          </w:p>
        </w:tc>
        <w:tc>
          <w:tcPr>
            <w:tcW w:w="38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 xml:space="preserve">   年     月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    日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期限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  <w:jc w:val="center"/>
        </w:trPr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取水类型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（可多选）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A类：水资源配置（□</w:t>
            </w:r>
            <w:r>
              <w:rPr>
                <w:rFonts w:hint="eastAsia" w:ascii="宋体" w:hAnsi="宋体" w:cs="宋体"/>
                <w:color w:val="auto"/>
                <w:highlight w:val="none"/>
                <w:u w:val="none"/>
              </w:rPr>
              <w:t xml:space="preserve">水库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 xml:space="preserve">□引调水工程 □其他河道内水利工程）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B类：□河道内生产用水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C类：特许经营供水（□公共供水 □灌区 □其他供水）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D类：□自备水源取水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E类：□其他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取水工程（设施）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（可多选）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闸 □坝 □渠道 □人工河道 □虹吸管 □水泵 □水井 □水电站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取水用途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（可多选）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pacing w:val="-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-6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spacing w:val="-6"/>
                <w:highlight w:val="none"/>
                <w:u w:val="none"/>
              </w:rPr>
              <w:t xml:space="preserve">制水 </w:t>
            </w:r>
            <w:r>
              <w:rPr>
                <w:rFonts w:hint="eastAsia" w:ascii="宋体" w:hAnsi="宋体" w:cs="宋体"/>
                <w:bCs/>
                <w:color w:val="auto"/>
                <w:spacing w:val="-6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spacing w:val="-6"/>
                <w:highlight w:val="none"/>
                <w:u w:val="none"/>
              </w:rPr>
              <w:t xml:space="preserve">供水 </w:t>
            </w:r>
            <w:r>
              <w:rPr>
                <w:rFonts w:hint="eastAsia" w:ascii="宋体" w:hAnsi="宋体" w:cs="宋体"/>
                <w:bCs/>
                <w:color w:val="auto"/>
                <w:spacing w:val="-6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spacing w:val="-6"/>
                <w:highlight w:val="none"/>
                <w:u w:val="none"/>
              </w:rPr>
              <w:t xml:space="preserve">水力发电 □航运 </w:t>
            </w:r>
            <w:r>
              <w:rPr>
                <w:rFonts w:hint="eastAsia" w:ascii="宋体" w:hAnsi="宋体" w:cs="宋体"/>
                <w:bCs/>
                <w:color w:val="auto"/>
                <w:spacing w:val="-6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spacing w:val="-6"/>
                <w:highlight w:val="none"/>
                <w:u w:val="none"/>
              </w:rPr>
              <w:t xml:space="preserve">生活用水 </w:t>
            </w:r>
            <w:r>
              <w:rPr>
                <w:rFonts w:hint="eastAsia" w:ascii="宋体" w:hAnsi="宋体" w:cs="宋体"/>
                <w:bCs/>
                <w:color w:val="auto"/>
                <w:spacing w:val="-6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spacing w:val="-6"/>
                <w:highlight w:val="none"/>
                <w:u w:val="none"/>
              </w:rPr>
              <w:t>工业用水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火（核）</w:t>
            </w:r>
            <w:r>
              <w:rPr>
                <w:rFonts w:ascii="宋体" w:hAnsi="宋体" w:cs="宋体"/>
                <w:bCs/>
                <w:color w:val="auto"/>
                <w:highlight w:val="none"/>
                <w:u w:val="none"/>
              </w:rPr>
              <w:t>电用水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 xml:space="preserve">农业用水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 xml:space="preserve">林业用水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畜牧业用水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 xml:space="preserve">水产养殖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 xml:space="preserve">建筑业用水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 xml:space="preserve">服务业用水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公共事业用水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 xml:space="preserve">特种行业用水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 xml:space="preserve">生态用水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其他用水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用水指标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主要产品</w:t>
            </w:r>
          </w:p>
        </w:tc>
        <w:tc>
          <w:tcPr>
            <w:tcW w:w="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</w:p>
        </w:tc>
        <w:tc>
          <w:tcPr>
            <w:tcW w:w="21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设计生产规模</w:t>
            </w:r>
          </w:p>
        </w:tc>
        <w:tc>
          <w:tcPr>
            <w:tcW w:w="27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计量（器具）类型</w:t>
            </w: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管道计量</w:t>
            </w:r>
          </w:p>
        </w:tc>
        <w:tc>
          <w:tcPr>
            <w:tcW w:w="62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 xml:space="preserve">机械水表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 xml:space="preserve">电子水表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电磁流量计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超声波流量计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明渠计量</w:t>
            </w:r>
          </w:p>
        </w:tc>
        <w:tc>
          <w:tcPr>
            <w:tcW w:w="62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 xml:space="preserve">依水位推流 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水工建筑物法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剖面流速仪（ADCP测流）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其他计量</w:t>
            </w:r>
          </w:p>
        </w:tc>
        <w:tc>
          <w:tcPr>
            <w:tcW w:w="62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 xml:space="preserve">用发电机或泵效率曲线推流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以电、柴油和其他动力消耗折算水量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安装位置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计量数据传输方式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  <w:t>在线      □非在线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none"/>
              </w:rPr>
              <w:t>退水方式与排放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none"/>
              </w:rPr>
              <w:t>去向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none"/>
              </w:rPr>
              <w:t>企业污水处理厂处理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none"/>
              </w:rPr>
              <w:t>排入城市公共污水管网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none"/>
              </w:rPr>
              <w:t xml:space="preserve">达标处理后直接排入江河湖库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none"/>
              </w:rPr>
              <w:t>退水量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none"/>
              </w:rPr>
              <w:t>受纳水体名称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水资源节约、保护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和管理措施</w:t>
            </w:r>
          </w:p>
        </w:tc>
        <w:tc>
          <w:tcPr>
            <w:tcW w:w="743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left="0" w:firstLine="0" w:firstLineChars="0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olor w:val="auto"/>
                <w:highlight w:val="none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400" w:lineRule="exact"/>
        <w:ind w:firstLine="560" w:firstLineChars="200"/>
        <w:outlineLvl w:val="9"/>
        <w:rPr>
          <w:vanish/>
          <w:color w:val="auto"/>
          <w:highlight w:val="none"/>
          <w:u w:val="none"/>
        </w:rPr>
      </w:pPr>
    </w:p>
    <w:p>
      <w:pPr>
        <w:spacing w:line="580" w:lineRule="exact"/>
        <w:ind w:left="0" w:leftChars="0" w:firstLine="0" w:firstLineChars="0"/>
        <w:outlineLvl w:val="9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B16CA"/>
    <w:rsid w:val="12275A6D"/>
    <w:rsid w:val="2E362385"/>
    <w:rsid w:val="618B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before="40" w:after="40" w:line="312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napToGrid/>
      <w:spacing w:before="0" w:after="0" w:line="500" w:lineRule="exact"/>
      <w:ind w:firstLine="0" w:firstLineChars="0"/>
    </w:pPr>
    <w:rPr>
      <w:rFonts w:ascii="Calibri" w:hAnsi="Calibri" w:eastAsia="仿宋_GB2312" w:cs="Times New Roman"/>
      <w:sz w:val="30"/>
      <w:szCs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jc w:val="left"/>
    </w:pPr>
    <w:rPr>
      <w:rFonts w:ascii="Calibri" w:hAnsi="Calibri" w:eastAsia="宋体"/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2019-12-09T00:36:00Z</dcterms:created>
  <dc:creator>罗杨柳</dc:creator>
  <cp:lastModifiedBy>罗杨柳</cp:lastModifiedBy>
  <dcterms:modified xsi:type="dcterms:W3CDTF">2019-12-09T00:47:42Z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